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8300B4" w14:textId="77777777" w:rsidR="000976E1" w:rsidRDefault="000976E1" w:rsidP="000976E1">
      <w:pPr>
        <w:jc w:val="center"/>
        <w:rPr>
          <w:b/>
        </w:rPr>
      </w:pPr>
      <w:r w:rsidRPr="00721699">
        <w:rPr>
          <w:b/>
        </w:rPr>
        <w:t>Supplementary Information</w:t>
      </w:r>
      <w:r>
        <w:rPr>
          <w:b/>
        </w:rPr>
        <w:t xml:space="preserve"> for:</w:t>
      </w:r>
    </w:p>
    <w:p w14:paraId="06BEDBED" w14:textId="77777777" w:rsidR="00167087" w:rsidRPr="00CB55B4" w:rsidRDefault="00167087" w:rsidP="00167087">
      <w:pPr>
        <w:pStyle w:val="PlainText"/>
      </w:pPr>
      <w:r>
        <w:rPr>
          <w:sz w:val="24"/>
          <w:szCs w:val="24"/>
        </w:rPr>
        <w:t xml:space="preserve">Evidence of wet-dry cycles and mega-droughts in the </w:t>
      </w:r>
      <w:proofErr w:type="spellStart"/>
      <w:r>
        <w:rPr>
          <w:sz w:val="24"/>
          <w:szCs w:val="24"/>
        </w:rPr>
        <w:t>Eemian</w:t>
      </w:r>
      <w:proofErr w:type="spellEnd"/>
      <w:r>
        <w:rPr>
          <w:sz w:val="24"/>
          <w:szCs w:val="24"/>
        </w:rPr>
        <w:t xml:space="preserve"> climate of southeast Australia.</w:t>
      </w:r>
    </w:p>
    <w:p w14:paraId="6307C11A" w14:textId="77777777" w:rsidR="000976E1" w:rsidRDefault="000976E1" w:rsidP="000976E1"/>
    <w:p w14:paraId="3B87F084" w14:textId="77777777" w:rsidR="000976E1" w:rsidRPr="007E6875" w:rsidRDefault="000976E1" w:rsidP="000976E1">
      <w:pPr>
        <w:rPr>
          <w:b/>
        </w:rPr>
      </w:pPr>
      <w:r w:rsidRPr="007E6875">
        <w:rPr>
          <w:b/>
        </w:rPr>
        <w:t>Authors:</w:t>
      </w:r>
    </w:p>
    <w:p w14:paraId="6922CB45" w14:textId="77777777" w:rsidR="000976E1" w:rsidRPr="00B87695" w:rsidRDefault="000976E1" w:rsidP="000976E1">
      <w:r w:rsidRPr="00B87695">
        <w:rPr>
          <w:vertAlign w:val="superscript"/>
        </w:rPr>
        <w:t>1</w:t>
      </w:r>
      <w:r>
        <w:rPr>
          <w:vertAlign w:val="superscript"/>
        </w:rPr>
        <w:t>#</w:t>
      </w:r>
      <w:r w:rsidRPr="00B87695">
        <w:t xml:space="preserve">Hamish McGowan, </w:t>
      </w:r>
      <w:r w:rsidRPr="00B87695">
        <w:rPr>
          <w:vertAlign w:val="superscript"/>
        </w:rPr>
        <w:t>2</w:t>
      </w:r>
      <w:r w:rsidRPr="00B87695">
        <w:t xml:space="preserve">Micheline Campbell, </w:t>
      </w:r>
      <w:r w:rsidRPr="009748BF">
        <w:rPr>
          <w:vertAlign w:val="superscript"/>
        </w:rPr>
        <w:t>2</w:t>
      </w:r>
      <w:r w:rsidRPr="009748BF">
        <w:t>John Nikolaus Callow</w:t>
      </w:r>
      <w:r w:rsidRPr="00B87695">
        <w:t xml:space="preserve">, </w:t>
      </w:r>
      <w:r w:rsidRPr="00B87695">
        <w:rPr>
          <w:vertAlign w:val="superscript"/>
        </w:rPr>
        <w:t>1</w:t>
      </w:r>
      <w:r w:rsidRPr="00B87695">
        <w:t>Andrew Lowry</w:t>
      </w:r>
      <w:r>
        <w:t xml:space="preserve"> and </w:t>
      </w:r>
      <w:r>
        <w:rPr>
          <w:vertAlign w:val="superscript"/>
        </w:rPr>
        <w:t>3</w:t>
      </w:r>
      <w:r>
        <w:t>Henri Wong</w:t>
      </w:r>
    </w:p>
    <w:p w14:paraId="76DD15AB" w14:textId="77777777" w:rsidR="000976E1" w:rsidRPr="00B87695" w:rsidRDefault="000976E1" w:rsidP="000976E1">
      <w:r w:rsidRPr="00B87695">
        <w:rPr>
          <w:vertAlign w:val="superscript"/>
        </w:rPr>
        <w:t>1</w:t>
      </w:r>
      <w:r w:rsidRPr="00B87695">
        <w:t>Atmospheric Observations Research Group, The University of Queensland, Brisbane, Australia.</w:t>
      </w:r>
    </w:p>
    <w:p w14:paraId="1A9527C7" w14:textId="77777777" w:rsidR="000976E1" w:rsidRDefault="000976E1" w:rsidP="000976E1">
      <w:r w:rsidRPr="00B87695">
        <w:rPr>
          <w:vertAlign w:val="superscript"/>
        </w:rPr>
        <w:t>2</w:t>
      </w:r>
      <w:r w:rsidRPr="00B87695">
        <w:t xml:space="preserve">School of </w:t>
      </w:r>
      <w:r w:rsidRPr="00DB4DC5">
        <w:t>Agriculture and Environment, The University of Western Australia, Perth, Australia.</w:t>
      </w:r>
    </w:p>
    <w:p w14:paraId="6723AB12" w14:textId="77777777" w:rsidR="000976E1" w:rsidRPr="00DB4DC5" w:rsidRDefault="000976E1" w:rsidP="000976E1">
      <w:r>
        <w:rPr>
          <w:vertAlign w:val="superscript"/>
        </w:rPr>
        <w:t>3</w:t>
      </w:r>
      <w:r>
        <w:t>Australian Nuclear Science and Technology Organisation, Lucas Heights, Sydney, Australia.</w:t>
      </w:r>
    </w:p>
    <w:p w14:paraId="5E66D111" w14:textId="77777777" w:rsidR="000976E1" w:rsidRDefault="000976E1" w:rsidP="000976E1">
      <w:pPr>
        <w:rPr>
          <w:b/>
        </w:rPr>
      </w:pPr>
    </w:p>
    <w:p w14:paraId="296F58DC" w14:textId="77777777" w:rsidR="000976E1" w:rsidRDefault="000976E1" w:rsidP="000976E1">
      <w:pPr>
        <w:spacing w:before="100" w:beforeAutospacing="1" w:after="100" w:afterAutospacing="1"/>
        <w:rPr>
          <w:rFonts w:ascii="Myriad Pro" w:hAnsi="Myriad Pro"/>
          <w:b/>
          <w:szCs w:val="24"/>
        </w:rPr>
      </w:pPr>
      <w:r w:rsidRPr="00504EF6">
        <w:rPr>
          <w:rFonts w:ascii="Myriad Pro" w:hAnsi="Myriad Pro"/>
          <w:b/>
          <w:bCs/>
          <w:szCs w:val="24"/>
        </w:rPr>
        <w:t>Introduction</w:t>
      </w:r>
      <w:r w:rsidRPr="00CE6EAA">
        <w:rPr>
          <w:rFonts w:ascii="Myriad Pro" w:hAnsi="Myriad Pro"/>
          <w:b/>
          <w:szCs w:val="24"/>
        </w:rPr>
        <w:t xml:space="preserve"> </w:t>
      </w:r>
    </w:p>
    <w:p w14:paraId="2FB0C80A" w14:textId="77777777" w:rsidR="000976E1" w:rsidRDefault="000976E1" w:rsidP="000976E1">
      <w:pPr>
        <w:spacing w:before="100" w:beforeAutospacing="1" w:after="100" w:afterAutospacing="1" w:line="480" w:lineRule="auto"/>
        <w:rPr>
          <w:szCs w:val="24"/>
        </w:rPr>
      </w:pPr>
      <w:r w:rsidRPr="00504EF6">
        <w:rPr>
          <w:szCs w:val="24"/>
        </w:rPr>
        <w:t>This supporting information provides</w:t>
      </w:r>
      <w:r>
        <w:rPr>
          <w:szCs w:val="24"/>
        </w:rPr>
        <w:t>:</w:t>
      </w:r>
    </w:p>
    <w:p w14:paraId="2BF6F27D" w14:textId="77777777" w:rsidR="000976E1" w:rsidRDefault="000976E1" w:rsidP="000976E1">
      <w:pPr>
        <w:rPr>
          <w:b/>
        </w:rPr>
      </w:pPr>
      <w:r>
        <w:rPr>
          <w:szCs w:val="24"/>
        </w:rPr>
        <w:t xml:space="preserve">Table S1 presents details of the eight uranium series dates obtained for </w:t>
      </w:r>
      <w:r w:rsidRPr="00504EF6">
        <w:rPr>
          <w:szCs w:val="24"/>
        </w:rPr>
        <w:t xml:space="preserve">stalagmite </w:t>
      </w:r>
      <w:r>
        <w:rPr>
          <w:szCs w:val="24"/>
        </w:rPr>
        <w:t>G</w:t>
      </w:r>
      <w:r w:rsidRPr="00504EF6">
        <w:rPr>
          <w:szCs w:val="24"/>
        </w:rPr>
        <w:t>C001</w:t>
      </w:r>
      <w:r>
        <w:rPr>
          <w:szCs w:val="24"/>
        </w:rPr>
        <w:t xml:space="preserve">. The age model was developed using the </w:t>
      </w:r>
      <w:proofErr w:type="spellStart"/>
      <w:r>
        <w:t>StalAge</w:t>
      </w:r>
      <w:proofErr w:type="spellEnd"/>
      <w:r>
        <w:t xml:space="preserve"> algorithm of </w:t>
      </w:r>
      <w:r w:rsidRPr="00BB33FD">
        <w:rPr>
          <w:i/>
        </w:rPr>
        <w:t>Scholz and Hoffmann</w:t>
      </w:r>
      <w:r>
        <w:rPr>
          <w:i/>
        </w:rPr>
        <w:t>,</w:t>
      </w:r>
      <w:r w:rsidRPr="00523C14">
        <w:t xml:space="preserve"> </w:t>
      </w:r>
      <w:r>
        <w:t>[</w:t>
      </w:r>
      <w:r w:rsidRPr="00523C14">
        <w:t>2011</w:t>
      </w:r>
      <w:r>
        <w:t>].</w:t>
      </w:r>
      <w:r>
        <w:rPr>
          <w:szCs w:val="24"/>
        </w:rPr>
        <w:t xml:space="preserve">  Ensemble means for the 8 dates and their </w:t>
      </w:r>
      <w:r>
        <w:rPr>
          <w:rFonts w:ascii="Calibri" w:hAnsi="Calibri"/>
          <w:szCs w:val="24"/>
        </w:rPr>
        <w:t>±</w:t>
      </w:r>
      <w:r>
        <w:rPr>
          <w:szCs w:val="24"/>
        </w:rPr>
        <w:t xml:space="preserve"> </w:t>
      </w:r>
      <w:r>
        <w:t>2</w:t>
      </w:r>
      <w:r>
        <w:rPr>
          <w:rFonts w:ascii="Calibri" w:hAnsi="Calibri"/>
        </w:rPr>
        <w:t>δ</w:t>
      </w:r>
      <w:r>
        <w:rPr>
          <w:szCs w:val="24"/>
        </w:rPr>
        <w:t xml:space="preserve"> output from the </w:t>
      </w:r>
      <w:proofErr w:type="spellStart"/>
      <w:r>
        <w:t>StalAge</w:t>
      </w:r>
      <w:proofErr w:type="spellEnd"/>
      <w:r w:rsidRPr="008C581F">
        <w:t xml:space="preserve"> </w:t>
      </w:r>
      <w:r>
        <w:t>algorithm are presented in Table S2 and shown graphically in Figure S1.</w:t>
      </w:r>
    </w:p>
    <w:p w14:paraId="3BC16A7F" w14:textId="77777777" w:rsidR="000976E1" w:rsidRDefault="000976E1" w:rsidP="000976E1">
      <w:pPr>
        <w:rPr>
          <w:b/>
        </w:rPr>
      </w:pPr>
    </w:p>
    <w:p w14:paraId="061F4FC0" w14:textId="77777777" w:rsidR="000976E1" w:rsidRDefault="000976E1" w:rsidP="000976E1">
      <w:pPr>
        <w:keepNext/>
        <w:rPr>
          <w:szCs w:val="24"/>
        </w:rPr>
      </w:pPr>
      <w:r w:rsidRPr="004A0C49">
        <w:rPr>
          <w:b/>
          <w:noProof/>
          <w:lang w:eastAsia="en-AU"/>
        </w:rPr>
        <w:drawing>
          <wp:anchor distT="0" distB="0" distL="114300" distR="114300" simplePos="0" relativeHeight="251659264" behindDoc="0" locked="0" layoutInCell="1" allowOverlap="1" wp14:anchorId="67F69992" wp14:editId="7A6E5FC2">
            <wp:simplePos x="0" y="0"/>
            <wp:positionH relativeFrom="page">
              <wp:posOffset>608965</wp:posOffset>
            </wp:positionH>
            <wp:positionV relativeFrom="paragraph">
              <wp:posOffset>517525</wp:posOffset>
            </wp:positionV>
            <wp:extent cx="6316980" cy="1807210"/>
            <wp:effectExtent l="0" t="0" r="7620" b="2540"/>
            <wp:wrapTopAndBottom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6980" cy="18072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4A0C49">
        <w:rPr>
          <w:b/>
        </w:rPr>
        <w:t>Table S1</w:t>
      </w:r>
      <w:r>
        <w:t xml:space="preserve">. </w:t>
      </w:r>
      <w:r w:rsidRPr="003344ED">
        <w:rPr>
          <w:szCs w:val="24"/>
        </w:rPr>
        <w:t xml:space="preserve">Uranium series dating results for </w:t>
      </w:r>
      <w:r>
        <w:rPr>
          <w:szCs w:val="24"/>
        </w:rPr>
        <w:t>8</w:t>
      </w:r>
      <w:r w:rsidRPr="003344ED">
        <w:rPr>
          <w:szCs w:val="24"/>
        </w:rPr>
        <w:t xml:space="preserve"> sub-samples milled from stalagmite </w:t>
      </w:r>
      <w:r>
        <w:rPr>
          <w:szCs w:val="24"/>
        </w:rPr>
        <w:t>G</w:t>
      </w:r>
      <w:r w:rsidRPr="003344ED">
        <w:rPr>
          <w:szCs w:val="24"/>
        </w:rPr>
        <w:t>C001 with ages shown in years BP (1950) with ± 2σ, and respective year</w:t>
      </w:r>
      <w:r>
        <w:rPr>
          <w:szCs w:val="24"/>
        </w:rPr>
        <w:t xml:space="preserve"> BCE.</w:t>
      </w:r>
      <w:r w:rsidRPr="003344ED">
        <w:rPr>
          <w:szCs w:val="24"/>
        </w:rPr>
        <w:t xml:space="preserve"> </w:t>
      </w:r>
    </w:p>
    <w:p w14:paraId="7A432268" w14:textId="77777777" w:rsidR="000976E1" w:rsidRDefault="000976E1" w:rsidP="000976E1">
      <w:pPr>
        <w:keepNext/>
        <w:rPr>
          <w:szCs w:val="24"/>
        </w:rPr>
      </w:pPr>
    </w:p>
    <w:p w14:paraId="7C8BEFAE" w14:textId="77777777" w:rsidR="000976E1" w:rsidRPr="003344ED" w:rsidRDefault="000976E1" w:rsidP="000976E1">
      <w:r w:rsidRPr="003344ED">
        <w:t xml:space="preserve">Note: Ratios listed in the table refer to activity ratios normalized to the corresponding ratios measured for the secular-equilibrium HU-1 standard. </w:t>
      </w:r>
      <w:r w:rsidRPr="003344ED">
        <w:rPr>
          <w:vertAlign w:val="superscript"/>
        </w:rPr>
        <w:t>230</w:t>
      </w:r>
      <w:r w:rsidRPr="003344ED">
        <w:t xml:space="preserve">Th ages are calculated using </w:t>
      </w:r>
      <w:proofErr w:type="spellStart"/>
      <w:r w:rsidRPr="003344ED">
        <w:t>Isoplot</w:t>
      </w:r>
      <w:proofErr w:type="spellEnd"/>
      <w:r w:rsidRPr="003344ED">
        <w:t xml:space="preserve">/Ex 3.75 </w:t>
      </w:r>
      <w:r>
        <w:t>[</w:t>
      </w:r>
      <w:r w:rsidRPr="00BB33FD">
        <w:rPr>
          <w:i/>
        </w:rPr>
        <w:t>Ludwig,</w:t>
      </w:r>
      <w:r w:rsidRPr="003344ED">
        <w:t xml:space="preserve"> 2012</w:t>
      </w:r>
      <w:r>
        <w:t>]</w:t>
      </w:r>
      <w:r w:rsidRPr="003344ED">
        <w:t xml:space="preserve">, using decay constants of </w:t>
      </w:r>
      <w:r w:rsidRPr="003E66F1">
        <w:t>Cheng et al.,</w:t>
      </w:r>
      <w:r w:rsidRPr="003344ED">
        <w:t xml:space="preserve"> </w:t>
      </w:r>
      <w:r>
        <w:t>[</w:t>
      </w:r>
      <w:r w:rsidRPr="003344ED">
        <w:t>2000</w:t>
      </w:r>
      <w:r>
        <w:t>]</w:t>
      </w:r>
      <w:r w:rsidRPr="003344ED">
        <w:t xml:space="preserve">. Non-radiogenic </w:t>
      </w:r>
      <w:r w:rsidRPr="003344ED">
        <w:rPr>
          <w:vertAlign w:val="superscript"/>
        </w:rPr>
        <w:t>230</w:t>
      </w:r>
      <w:r w:rsidRPr="003344ED">
        <w:t>Th correction was applied assuming non-radiogenic 230Th/232Th atomic ratio = 4.4±2.2 x 10</w:t>
      </w:r>
      <w:r w:rsidRPr="003344ED">
        <w:rPr>
          <w:vertAlign w:val="superscript"/>
        </w:rPr>
        <w:t>-6</w:t>
      </w:r>
      <w:r w:rsidRPr="003344ED">
        <w:t xml:space="preserve"> (bulk-earth value), and </w:t>
      </w:r>
      <w:r w:rsidRPr="003344ED">
        <w:rPr>
          <w:vertAlign w:val="superscript"/>
        </w:rPr>
        <w:t>238</w:t>
      </w:r>
      <w:r w:rsidRPr="003344ED">
        <w:t xml:space="preserve">U, </w:t>
      </w:r>
      <w:r w:rsidRPr="003344ED">
        <w:rPr>
          <w:vertAlign w:val="superscript"/>
        </w:rPr>
        <w:t>234</w:t>
      </w:r>
      <w:r w:rsidRPr="003344ED">
        <w:t xml:space="preserve">U, </w:t>
      </w:r>
      <w:r w:rsidRPr="003344ED">
        <w:rPr>
          <w:vertAlign w:val="superscript"/>
        </w:rPr>
        <w:t>232</w:t>
      </w:r>
      <w:r w:rsidRPr="003344ED">
        <w:t xml:space="preserve">Th and </w:t>
      </w:r>
      <w:r w:rsidRPr="003344ED">
        <w:rPr>
          <w:vertAlign w:val="superscript"/>
        </w:rPr>
        <w:t>230</w:t>
      </w:r>
      <w:r w:rsidRPr="003344ED">
        <w:t xml:space="preserve">Th are in secular equilibrium. Non-radiogenic </w:t>
      </w:r>
      <w:r w:rsidRPr="003344ED">
        <w:rPr>
          <w:vertAlign w:val="superscript"/>
        </w:rPr>
        <w:t>230</w:t>
      </w:r>
      <w:r w:rsidRPr="003344ED">
        <w:t xml:space="preserve">Th correction results in large age error magnification for samples with low </w:t>
      </w:r>
      <w:r w:rsidRPr="003344ED">
        <w:rPr>
          <w:vertAlign w:val="superscript"/>
        </w:rPr>
        <w:t>230</w:t>
      </w:r>
      <w:r w:rsidRPr="003344ED">
        <w:t>Th/</w:t>
      </w:r>
      <w:r w:rsidRPr="003344ED">
        <w:rPr>
          <w:vertAlign w:val="superscript"/>
        </w:rPr>
        <w:t>232</w:t>
      </w:r>
      <w:r w:rsidRPr="003344ED">
        <w:t xml:space="preserve">Th ratios. </w:t>
      </w:r>
      <w:proofErr w:type="spellStart"/>
      <w:r w:rsidRPr="003344ED">
        <w:t>uncorr</w:t>
      </w:r>
      <w:proofErr w:type="spellEnd"/>
      <w:r w:rsidRPr="003344ED">
        <w:t>. and corr. denote uncorrected and corrected.</w:t>
      </w:r>
    </w:p>
    <w:p w14:paraId="1F76E8D0" w14:textId="77777777" w:rsidR="000976E1" w:rsidRDefault="000976E1" w:rsidP="000976E1">
      <w:pPr>
        <w:spacing w:before="100" w:beforeAutospacing="1" w:after="100" w:afterAutospacing="1" w:line="240" w:lineRule="auto"/>
        <w:rPr>
          <w:b/>
          <w:szCs w:val="24"/>
        </w:rPr>
      </w:pPr>
    </w:p>
    <w:p w14:paraId="2FCE3E1E" w14:textId="77777777" w:rsidR="000976E1" w:rsidRDefault="000976E1" w:rsidP="000976E1">
      <w:pPr>
        <w:spacing w:before="100" w:beforeAutospacing="1" w:after="100" w:afterAutospacing="1" w:line="240" w:lineRule="auto"/>
      </w:pPr>
      <w:r>
        <w:rPr>
          <w:b/>
          <w:szCs w:val="24"/>
        </w:rPr>
        <w:lastRenderedPageBreak/>
        <w:t>T</w:t>
      </w:r>
      <w:r w:rsidRPr="0027559E">
        <w:rPr>
          <w:b/>
          <w:szCs w:val="24"/>
        </w:rPr>
        <w:t>able S2</w:t>
      </w:r>
      <w:r>
        <w:rPr>
          <w:szCs w:val="24"/>
        </w:rPr>
        <w:t xml:space="preserve">. </w:t>
      </w:r>
      <w:r>
        <w:t xml:space="preserve">Presented ages (rounded to nearest year) are the original corrected </w:t>
      </w:r>
      <w:r w:rsidRPr="007A762A">
        <w:rPr>
          <w:bCs/>
          <w:sz w:val="20"/>
          <w:vertAlign w:val="superscript"/>
        </w:rPr>
        <w:t>230</w:t>
      </w:r>
      <w:r w:rsidRPr="007A762A">
        <w:rPr>
          <w:bCs/>
          <w:sz w:val="20"/>
        </w:rPr>
        <w:t xml:space="preserve">Th </w:t>
      </w:r>
      <w:r>
        <w:rPr>
          <w:bCs/>
          <w:sz w:val="20"/>
        </w:rPr>
        <w:t>a</w:t>
      </w:r>
      <w:r w:rsidRPr="007A762A">
        <w:rPr>
          <w:bCs/>
          <w:sz w:val="20"/>
        </w:rPr>
        <w:t>ge</w:t>
      </w:r>
      <w:r>
        <w:rPr>
          <w:bCs/>
          <w:sz w:val="20"/>
        </w:rPr>
        <w:t xml:space="preserve"> in years</w:t>
      </w:r>
      <w:r w:rsidRPr="007A762A">
        <w:rPr>
          <w:bCs/>
          <w:sz w:val="20"/>
        </w:rPr>
        <w:t xml:space="preserve"> (BP)</w:t>
      </w:r>
      <w:r>
        <w:rPr>
          <w:bCs/>
          <w:sz w:val="20"/>
        </w:rPr>
        <w:t xml:space="preserve"> and</w:t>
      </w:r>
      <w:r>
        <w:t xml:space="preserve"> mean ages from a </w:t>
      </w:r>
      <w:proofErr w:type="gramStart"/>
      <w:r>
        <w:t>30 iteration</w:t>
      </w:r>
      <w:proofErr w:type="gramEnd"/>
      <w:r>
        <w:t xml:space="preserve"> ensemble from </w:t>
      </w:r>
      <w:proofErr w:type="spellStart"/>
      <w:r>
        <w:t>StalAge</w:t>
      </w:r>
      <w:proofErr w:type="spellEnd"/>
      <w:r>
        <w:t>. Standard 2</w:t>
      </w:r>
      <w:r>
        <w:rPr>
          <w:rFonts w:ascii="Calibri" w:hAnsi="Calibri"/>
        </w:rPr>
        <w:t>δ</w:t>
      </w:r>
      <w:r>
        <w:t xml:space="preserve"> are also presented.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42"/>
        <w:gridCol w:w="1920"/>
        <w:gridCol w:w="1675"/>
        <w:gridCol w:w="1904"/>
      </w:tblGrid>
      <w:tr w:rsidR="000976E1" w14:paraId="31B5F086" w14:textId="77777777" w:rsidTr="00593961">
        <w:tc>
          <w:tcPr>
            <w:tcW w:w="1842" w:type="dxa"/>
          </w:tcPr>
          <w:p w14:paraId="1631D47A" w14:textId="77777777" w:rsidR="000976E1" w:rsidRPr="00BB7349" w:rsidRDefault="000976E1" w:rsidP="00593961">
            <w:pPr>
              <w:rPr>
                <w:rFonts w:ascii="Calibri" w:hAnsi="Calibri" w:cs="Calibri"/>
                <w:b/>
                <w:color w:val="000000"/>
              </w:rPr>
            </w:pPr>
            <w:r w:rsidRPr="00BB7349">
              <w:rPr>
                <w:rFonts w:ascii="Calibri" w:hAnsi="Calibri" w:cs="Calibri"/>
                <w:b/>
                <w:color w:val="000000"/>
              </w:rPr>
              <w:t>Depth from tip of GC001 (mm)</w:t>
            </w:r>
          </w:p>
        </w:tc>
        <w:tc>
          <w:tcPr>
            <w:tcW w:w="1920" w:type="dxa"/>
          </w:tcPr>
          <w:p w14:paraId="10B0FC0E" w14:textId="77777777" w:rsidR="000976E1" w:rsidRPr="00BB7349" w:rsidRDefault="000976E1" w:rsidP="00593961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BB7349">
              <w:rPr>
                <w:b/>
              </w:rPr>
              <w:t xml:space="preserve">Original corrected  </w:t>
            </w:r>
            <w:r w:rsidRPr="00BB7349">
              <w:rPr>
                <w:b/>
                <w:bCs/>
                <w:sz w:val="20"/>
                <w:vertAlign w:val="superscript"/>
              </w:rPr>
              <w:t>230</w:t>
            </w:r>
            <w:r w:rsidRPr="00BB7349">
              <w:rPr>
                <w:b/>
                <w:bCs/>
                <w:sz w:val="20"/>
              </w:rPr>
              <w:t>Th Age years (BP)</w:t>
            </w:r>
          </w:p>
        </w:tc>
        <w:tc>
          <w:tcPr>
            <w:tcW w:w="1675" w:type="dxa"/>
          </w:tcPr>
          <w:p w14:paraId="70C24D3F" w14:textId="77777777" w:rsidR="000976E1" w:rsidRPr="00BB7349" w:rsidRDefault="000976E1" w:rsidP="00593961">
            <w:pPr>
              <w:spacing w:before="100" w:beforeAutospacing="1" w:after="100" w:afterAutospacing="1"/>
              <w:jc w:val="center"/>
              <w:rPr>
                <w:b/>
                <w:bCs/>
                <w:sz w:val="20"/>
              </w:rPr>
            </w:pPr>
            <w:r>
              <w:rPr>
                <w:b/>
              </w:rPr>
              <w:t xml:space="preserve">+/- </w:t>
            </w:r>
            <w:r w:rsidRPr="00BB7349">
              <w:rPr>
                <w:b/>
              </w:rPr>
              <w:t>2</w:t>
            </w:r>
            <w:r w:rsidRPr="00BB7349">
              <w:rPr>
                <w:rFonts w:ascii="Calibri" w:hAnsi="Calibri"/>
                <w:b/>
              </w:rPr>
              <w:t>δ years</w:t>
            </w:r>
          </w:p>
        </w:tc>
        <w:tc>
          <w:tcPr>
            <w:tcW w:w="1904" w:type="dxa"/>
          </w:tcPr>
          <w:p w14:paraId="691A5183" w14:textId="77777777" w:rsidR="000976E1" w:rsidRPr="00BB7349" w:rsidRDefault="000976E1" w:rsidP="00593961">
            <w:pPr>
              <w:spacing w:before="100" w:beforeAutospacing="1" w:after="100" w:afterAutospacing="1"/>
              <w:jc w:val="center"/>
              <w:rPr>
                <w:b/>
              </w:rPr>
            </w:pPr>
            <w:r w:rsidRPr="00BB7349">
              <w:rPr>
                <w:b/>
                <w:bCs/>
                <w:sz w:val="20"/>
              </w:rPr>
              <w:t xml:space="preserve">Corrected </w:t>
            </w:r>
            <w:proofErr w:type="spellStart"/>
            <w:r w:rsidRPr="00BB7349">
              <w:rPr>
                <w:b/>
              </w:rPr>
              <w:t>StalAge</w:t>
            </w:r>
            <w:proofErr w:type="spellEnd"/>
            <w:r w:rsidRPr="00BB7349">
              <w:rPr>
                <w:b/>
                <w:bCs/>
                <w:sz w:val="20"/>
              </w:rPr>
              <w:t xml:space="preserve"> mean </w:t>
            </w:r>
            <w:r w:rsidRPr="00BB7349">
              <w:rPr>
                <w:b/>
                <w:bCs/>
                <w:sz w:val="20"/>
                <w:vertAlign w:val="superscript"/>
              </w:rPr>
              <w:t>230</w:t>
            </w:r>
            <w:r w:rsidRPr="00BB7349">
              <w:rPr>
                <w:b/>
                <w:bCs/>
                <w:sz w:val="20"/>
              </w:rPr>
              <w:t>Th Age years (BP) (n=30)</w:t>
            </w:r>
          </w:p>
        </w:tc>
      </w:tr>
      <w:tr w:rsidR="000976E1" w14:paraId="6D5D24BC" w14:textId="77777777" w:rsidTr="00593961">
        <w:tc>
          <w:tcPr>
            <w:tcW w:w="1842" w:type="dxa"/>
            <w:vAlign w:val="bottom"/>
          </w:tcPr>
          <w:p w14:paraId="2BD907AB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23</w:t>
            </w:r>
          </w:p>
        </w:tc>
        <w:tc>
          <w:tcPr>
            <w:tcW w:w="1920" w:type="dxa"/>
            <w:vAlign w:val="bottom"/>
          </w:tcPr>
          <w:p w14:paraId="4007ED6F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103289</w:t>
            </w:r>
          </w:p>
        </w:tc>
        <w:tc>
          <w:tcPr>
            <w:tcW w:w="1675" w:type="dxa"/>
            <w:vAlign w:val="bottom"/>
          </w:tcPr>
          <w:p w14:paraId="0B2C8BA7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484</w:t>
            </w:r>
          </w:p>
        </w:tc>
        <w:tc>
          <w:tcPr>
            <w:tcW w:w="1904" w:type="dxa"/>
            <w:vAlign w:val="bottom"/>
          </w:tcPr>
          <w:p w14:paraId="46F62E5B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103113</w:t>
            </w:r>
          </w:p>
        </w:tc>
      </w:tr>
      <w:tr w:rsidR="000976E1" w14:paraId="1C25E6D3" w14:textId="77777777" w:rsidTr="00593961">
        <w:tc>
          <w:tcPr>
            <w:tcW w:w="1842" w:type="dxa"/>
            <w:vAlign w:val="bottom"/>
          </w:tcPr>
          <w:p w14:paraId="29572BAC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60</w:t>
            </w:r>
          </w:p>
        </w:tc>
        <w:tc>
          <w:tcPr>
            <w:tcW w:w="1920" w:type="dxa"/>
            <w:vAlign w:val="bottom"/>
          </w:tcPr>
          <w:p w14:paraId="10332434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104030</w:t>
            </w:r>
          </w:p>
        </w:tc>
        <w:tc>
          <w:tcPr>
            <w:tcW w:w="1675" w:type="dxa"/>
            <w:vAlign w:val="bottom"/>
          </w:tcPr>
          <w:p w14:paraId="150093A5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818</w:t>
            </w:r>
          </w:p>
        </w:tc>
        <w:tc>
          <w:tcPr>
            <w:tcW w:w="1904" w:type="dxa"/>
            <w:vAlign w:val="bottom"/>
          </w:tcPr>
          <w:p w14:paraId="522CCF9F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104601</w:t>
            </w:r>
          </w:p>
        </w:tc>
      </w:tr>
      <w:tr w:rsidR="000976E1" w14:paraId="7931ACCE" w14:textId="77777777" w:rsidTr="00593961">
        <w:tc>
          <w:tcPr>
            <w:tcW w:w="1842" w:type="dxa"/>
            <w:vAlign w:val="bottom"/>
          </w:tcPr>
          <w:p w14:paraId="7514DAE1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100</w:t>
            </w:r>
          </w:p>
        </w:tc>
        <w:tc>
          <w:tcPr>
            <w:tcW w:w="1920" w:type="dxa"/>
            <w:vAlign w:val="bottom"/>
          </w:tcPr>
          <w:p w14:paraId="3C1DECB7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106521</w:t>
            </w:r>
          </w:p>
        </w:tc>
        <w:tc>
          <w:tcPr>
            <w:tcW w:w="1675" w:type="dxa"/>
            <w:vAlign w:val="bottom"/>
          </w:tcPr>
          <w:p w14:paraId="630EEF70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897</w:t>
            </w:r>
          </w:p>
        </w:tc>
        <w:tc>
          <w:tcPr>
            <w:tcW w:w="1904" w:type="dxa"/>
            <w:vAlign w:val="bottom"/>
          </w:tcPr>
          <w:p w14:paraId="4F04760D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106191</w:t>
            </w:r>
          </w:p>
        </w:tc>
      </w:tr>
      <w:tr w:rsidR="000976E1" w14:paraId="06E6EBD0" w14:textId="77777777" w:rsidTr="00593961">
        <w:tc>
          <w:tcPr>
            <w:tcW w:w="1842" w:type="dxa"/>
            <w:vAlign w:val="bottom"/>
          </w:tcPr>
          <w:p w14:paraId="01BF641C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140</w:t>
            </w:r>
          </w:p>
        </w:tc>
        <w:tc>
          <w:tcPr>
            <w:tcW w:w="1920" w:type="dxa"/>
            <w:vAlign w:val="bottom"/>
          </w:tcPr>
          <w:p w14:paraId="267030A8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118254</w:t>
            </w:r>
          </w:p>
        </w:tc>
        <w:tc>
          <w:tcPr>
            <w:tcW w:w="1675" w:type="dxa"/>
            <w:vAlign w:val="bottom"/>
          </w:tcPr>
          <w:p w14:paraId="39077680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927</w:t>
            </w:r>
          </w:p>
        </w:tc>
        <w:tc>
          <w:tcPr>
            <w:tcW w:w="1904" w:type="dxa"/>
            <w:vAlign w:val="bottom"/>
          </w:tcPr>
          <w:p w14:paraId="6E59D255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117968</w:t>
            </w:r>
          </w:p>
        </w:tc>
      </w:tr>
      <w:tr w:rsidR="000976E1" w14:paraId="24F0A4DF" w14:textId="77777777" w:rsidTr="00593961">
        <w:tc>
          <w:tcPr>
            <w:tcW w:w="1842" w:type="dxa"/>
            <w:vAlign w:val="bottom"/>
          </w:tcPr>
          <w:p w14:paraId="63F13173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178</w:t>
            </w:r>
          </w:p>
        </w:tc>
        <w:tc>
          <w:tcPr>
            <w:tcW w:w="1920" w:type="dxa"/>
            <w:vAlign w:val="bottom"/>
          </w:tcPr>
          <w:p w14:paraId="3702ED08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119115</w:t>
            </w:r>
          </w:p>
        </w:tc>
        <w:tc>
          <w:tcPr>
            <w:tcW w:w="1675" w:type="dxa"/>
            <w:vAlign w:val="bottom"/>
          </w:tcPr>
          <w:p w14:paraId="064C2719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526</w:t>
            </w:r>
          </w:p>
        </w:tc>
        <w:tc>
          <w:tcPr>
            <w:tcW w:w="1904" w:type="dxa"/>
            <w:vAlign w:val="bottom"/>
          </w:tcPr>
          <w:p w14:paraId="32849FBB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119285</w:t>
            </w:r>
          </w:p>
        </w:tc>
      </w:tr>
      <w:tr w:rsidR="000976E1" w14:paraId="1B6F5FB1" w14:textId="77777777" w:rsidTr="00593961">
        <w:tc>
          <w:tcPr>
            <w:tcW w:w="1842" w:type="dxa"/>
            <w:vAlign w:val="bottom"/>
          </w:tcPr>
          <w:p w14:paraId="3EF1D3FB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220</w:t>
            </w:r>
          </w:p>
        </w:tc>
        <w:tc>
          <w:tcPr>
            <w:tcW w:w="1920" w:type="dxa"/>
            <w:vAlign w:val="bottom"/>
          </w:tcPr>
          <w:p w14:paraId="5E5E1D46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120859</w:t>
            </w:r>
          </w:p>
        </w:tc>
        <w:tc>
          <w:tcPr>
            <w:tcW w:w="1675" w:type="dxa"/>
            <w:vAlign w:val="bottom"/>
          </w:tcPr>
          <w:p w14:paraId="5B95DF25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845</w:t>
            </w:r>
          </w:p>
        </w:tc>
        <w:tc>
          <w:tcPr>
            <w:tcW w:w="1904" w:type="dxa"/>
            <w:vAlign w:val="bottom"/>
          </w:tcPr>
          <w:p w14:paraId="1F9E6AAE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120933</w:t>
            </w:r>
          </w:p>
        </w:tc>
      </w:tr>
      <w:tr w:rsidR="000976E1" w14:paraId="67089C2A" w14:textId="77777777" w:rsidTr="00593961">
        <w:tc>
          <w:tcPr>
            <w:tcW w:w="1842" w:type="dxa"/>
            <w:vAlign w:val="bottom"/>
          </w:tcPr>
          <w:p w14:paraId="1AB6D1E9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260</w:t>
            </w:r>
          </w:p>
        </w:tc>
        <w:tc>
          <w:tcPr>
            <w:tcW w:w="1920" w:type="dxa"/>
            <w:vAlign w:val="bottom"/>
          </w:tcPr>
          <w:p w14:paraId="729F8B7E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123312</w:t>
            </w:r>
          </w:p>
        </w:tc>
        <w:tc>
          <w:tcPr>
            <w:tcW w:w="1675" w:type="dxa"/>
            <w:vAlign w:val="bottom"/>
          </w:tcPr>
          <w:p w14:paraId="6DB75549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1593</w:t>
            </w:r>
          </w:p>
        </w:tc>
        <w:tc>
          <w:tcPr>
            <w:tcW w:w="1904" w:type="dxa"/>
            <w:vAlign w:val="bottom"/>
          </w:tcPr>
          <w:p w14:paraId="2D4FBCBE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122476</w:t>
            </w:r>
          </w:p>
        </w:tc>
      </w:tr>
      <w:tr w:rsidR="000976E1" w14:paraId="7DD5EB0B" w14:textId="77777777" w:rsidTr="00593961">
        <w:tc>
          <w:tcPr>
            <w:tcW w:w="1842" w:type="dxa"/>
            <w:vAlign w:val="bottom"/>
          </w:tcPr>
          <w:p w14:paraId="505BDA9D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292</w:t>
            </w:r>
          </w:p>
        </w:tc>
        <w:tc>
          <w:tcPr>
            <w:tcW w:w="1920" w:type="dxa"/>
            <w:vAlign w:val="bottom"/>
          </w:tcPr>
          <w:p w14:paraId="6EDE8D54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123251</w:t>
            </w:r>
          </w:p>
        </w:tc>
        <w:tc>
          <w:tcPr>
            <w:tcW w:w="1675" w:type="dxa"/>
            <w:vAlign w:val="bottom"/>
          </w:tcPr>
          <w:p w14:paraId="6AE0B69D" w14:textId="77777777" w:rsidR="000976E1" w:rsidRDefault="000976E1" w:rsidP="0059396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709</w:t>
            </w:r>
          </w:p>
        </w:tc>
        <w:tc>
          <w:tcPr>
            <w:tcW w:w="1904" w:type="dxa"/>
            <w:vAlign w:val="bottom"/>
          </w:tcPr>
          <w:p w14:paraId="49CAA2D7" w14:textId="77777777" w:rsidR="000976E1" w:rsidRDefault="000976E1" w:rsidP="00593961">
            <w:pPr>
              <w:jc w:val="right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123514</w:t>
            </w:r>
          </w:p>
        </w:tc>
      </w:tr>
    </w:tbl>
    <w:p w14:paraId="12A6F624" w14:textId="77777777" w:rsidR="000976E1" w:rsidRDefault="000976E1" w:rsidP="000976E1">
      <w:pPr>
        <w:spacing w:before="100" w:beforeAutospacing="1" w:after="100" w:afterAutospacing="1" w:line="240" w:lineRule="auto"/>
      </w:pPr>
    </w:p>
    <w:p w14:paraId="2A3D8158" w14:textId="77777777" w:rsidR="000976E1" w:rsidRDefault="000976E1" w:rsidP="000976E1">
      <w:pPr>
        <w:spacing w:after="0"/>
        <w:rPr>
          <w:b/>
        </w:rPr>
      </w:pPr>
      <w:r>
        <w:rPr>
          <w:noProof/>
          <w:lang w:eastAsia="en-AU"/>
        </w:rPr>
        <w:drawing>
          <wp:inline distT="0" distB="0" distL="0" distR="0" wp14:anchorId="775CA0FD" wp14:editId="37991281">
            <wp:extent cx="3073400" cy="3077146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87490" cy="30912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497E4A3" w14:textId="77777777" w:rsidR="000976E1" w:rsidRPr="002B44A0" w:rsidRDefault="000976E1" w:rsidP="000976E1">
      <w:pPr>
        <w:spacing w:after="0"/>
      </w:pPr>
      <w:r w:rsidRPr="002B44A0">
        <w:rPr>
          <w:b/>
        </w:rPr>
        <w:t xml:space="preserve">Figure S1. </w:t>
      </w:r>
      <w:r w:rsidRPr="002B44A0">
        <w:t>Final age model (</w:t>
      </w:r>
      <w:r>
        <w:t>solid black</w:t>
      </w:r>
      <w:r w:rsidRPr="002B44A0">
        <w:t xml:space="preserve"> line) for </w:t>
      </w:r>
      <w:r>
        <w:t>G</w:t>
      </w:r>
      <w:r w:rsidRPr="002B44A0">
        <w:t xml:space="preserve">C001 developed using the </w:t>
      </w:r>
      <w:proofErr w:type="spellStart"/>
      <w:r w:rsidRPr="002B44A0">
        <w:t>StalAge</w:t>
      </w:r>
      <w:proofErr w:type="spellEnd"/>
      <w:r w:rsidRPr="002B44A0">
        <w:t xml:space="preserve"> algorithm [Scholz and Hoffmann, 2011] for the entire length of the stalagmite with 95%-confidence limits shown</w:t>
      </w:r>
      <w:r>
        <w:t xml:space="preserve"> as dashed lines</w:t>
      </w:r>
      <w:r w:rsidRPr="002B44A0">
        <w:t>.</w:t>
      </w:r>
    </w:p>
    <w:p w14:paraId="222B08A0" w14:textId="77777777" w:rsidR="00054B27" w:rsidRDefault="00054B27"/>
    <w:sectPr w:rsidR="00054B27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8BBABF" w14:textId="77777777" w:rsidR="00CB08D3" w:rsidRDefault="00CB08D3">
      <w:pPr>
        <w:spacing w:after="0" w:line="240" w:lineRule="auto"/>
      </w:pPr>
      <w:r>
        <w:separator/>
      </w:r>
    </w:p>
  </w:endnote>
  <w:endnote w:type="continuationSeparator" w:id="0">
    <w:p w14:paraId="290D5C54" w14:textId="77777777" w:rsidR="00CB08D3" w:rsidRDefault="00CB08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yriad Pro">
    <w:altName w:val="Corbel"/>
    <w:charset w:val="00"/>
    <w:family w:val="auto"/>
    <w:pitch w:val="variable"/>
    <w:sig w:usb0="00000001" w:usb1="00000001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993814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61B7BF" w14:textId="77777777" w:rsidR="00C50BA2" w:rsidRDefault="000976E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167087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63D31EC9" w14:textId="77777777" w:rsidR="00C50BA2" w:rsidRDefault="00DB22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667BDCD" w14:textId="77777777" w:rsidR="00CB08D3" w:rsidRDefault="00CB08D3">
      <w:pPr>
        <w:spacing w:after="0" w:line="240" w:lineRule="auto"/>
      </w:pPr>
      <w:r>
        <w:separator/>
      </w:r>
    </w:p>
  </w:footnote>
  <w:footnote w:type="continuationSeparator" w:id="0">
    <w:p w14:paraId="0DA196C5" w14:textId="77777777" w:rsidR="00CB08D3" w:rsidRDefault="00CB08D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76E1"/>
    <w:rsid w:val="00054B27"/>
    <w:rsid w:val="000976E1"/>
    <w:rsid w:val="00167087"/>
    <w:rsid w:val="00CB08D3"/>
    <w:rsid w:val="00DB2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237124"/>
  <w15:chartTrackingRefBased/>
  <w15:docId w15:val="{66F6CE62-427E-4BD5-A2C0-5103BDC89B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976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0976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976E1"/>
  </w:style>
  <w:style w:type="table" w:styleId="TableGrid">
    <w:name w:val="Table Grid"/>
    <w:basedOn w:val="TableNormal"/>
    <w:uiPriority w:val="39"/>
    <w:rsid w:val="000976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lainText">
    <w:name w:val="Plain Text"/>
    <w:basedOn w:val="Normal"/>
    <w:link w:val="PlainTextChar"/>
    <w:uiPriority w:val="99"/>
    <w:unhideWhenUsed/>
    <w:rsid w:val="00167087"/>
    <w:pPr>
      <w:spacing w:after="0" w:line="240" w:lineRule="auto"/>
    </w:pPr>
    <w:rPr>
      <w:rFonts w:ascii="Calibri" w:hAnsi="Calibri" w:cs="Calibri"/>
    </w:rPr>
  </w:style>
  <w:style w:type="character" w:customStyle="1" w:styleId="PlainTextChar">
    <w:name w:val="Plain Text Char"/>
    <w:basedOn w:val="DefaultParagraphFont"/>
    <w:link w:val="PlainText"/>
    <w:uiPriority w:val="99"/>
    <w:rsid w:val="00167087"/>
    <w:rPr>
      <w:rFonts w:ascii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355</Words>
  <Characters>2027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University of Queensland</Company>
  <LinksUpToDate>false</LinksUpToDate>
  <CharactersWithSpaces>2378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Hamish McGowan</dc:creator>
  <cp:keywords/>
  <dc:description/>
  <cp:lastModifiedBy>PARSLOW, Gerardine</cp:lastModifiedBy>
  <cp:revision>2</cp:revision>
  <dcterms:created xsi:type="dcterms:W3CDTF">2022-08-29T02:27:00Z</dcterms:created>
  <dcterms:modified xsi:type="dcterms:W3CDTF">2022-08-29T02:27:00Z</dcterms:modified>
</cp:coreProperties>
</file>